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Times New Roman" w:eastAsia="黑体"/>
          <w:color w:val="FF0000"/>
          <w:sz w:val="41"/>
          <w:szCs w:val="41"/>
        </w:rPr>
      </w:pPr>
      <w:r>
        <w:rPr>
          <w:rFonts w:hint="eastAsia" w:ascii="黑体" w:hAnsi="Times New Roman" w:eastAsia="黑体"/>
          <w:color w:val="FF0000"/>
          <w:sz w:val="41"/>
          <w:szCs w:val="41"/>
        </w:rPr>
        <w:t>共青团上海电子信息职业技术学院委员会文件</w:t>
      </w:r>
    </w:p>
    <w:p>
      <w:pPr>
        <w:jc w:val="center"/>
        <w:rPr>
          <w:rFonts w:ascii="Times New Roman" w:hAnsi="Times New Roman"/>
          <w:sz w:val="24"/>
          <w:szCs w:val="24"/>
        </w:rPr>
      </w:pPr>
    </w:p>
    <w:p>
      <w:pPr>
        <w:jc w:val="center"/>
        <w:rPr>
          <w:rFonts w:ascii="Times New Roman" w:hAnsi="Times New Roman"/>
          <w:sz w:val="24"/>
          <w:szCs w:val="24"/>
        </w:rPr>
      </w:pPr>
    </w:p>
    <w:p>
      <w:pPr>
        <w:spacing w:before="156" w:beforeLines="50"/>
        <w:jc w:val="center"/>
        <w:rPr>
          <w:rFonts w:eastAsia="仿宋_GB2312"/>
          <w:color w:val="000000"/>
          <w:kern w:val="0"/>
          <w:sz w:val="32"/>
          <w:szCs w:val="28"/>
        </w:rPr>
      </w:pPr>
      <w:r>
        <w:rPr>
          <w:rFonts w:hint="eastAsia" w:eastAsia="仿宋_GB2312"/>
          <w:color w:val="000000"/>
          <w:kern w:val="0"/>
          <w:sz w:val="32"/>
          <w:szCs w:val="28"/>
        </w:rPr>
        <w:t>沪电信职院团字〔</w:t>
      </w:r>
      <w:r>
        <w:rPr>
          <w:rFonts w:eastAsia="仿宋_GB2312"/>
          <w:color w:val="000000"/>
          <w:kern w:val="0"/>
          <w:sz w:val="32"/>
          <w:szCs w:val="28"/>
        </w:rPr>
        <w:t>201</w:t>
      </w:r>
      <w:r>
        <w:rPr>
          <w:rFonts w:hint="eastAsia" w:eastAsia="仿宋_GB2312"/>
          <w:color w:val="000000"/>
          <w:kern w:val="0"/>
          <w:sz w:val="32"/>
          <w:szCs w:val="28"/>
          <w:lang w:val="en-US" w:eastAsia="zh-CN"/>
        </w:rPr>
        <w:t>9</w:t>
      </w:r>
      <w:r>
        <w:rPr>
          <w:rFonts w:hint="eastAsia" w:eastAsia="仿宋_GB2312"/>
          <w:color w:val="000000"/>
          <w:kern w:val="0"/>
          <w:sz w:val="32"/>
          <w:szCs w:val="28"/>
        </w:rPr>
        <w:t>〕</w:t>
      </w:r>
      <w:r>
        <w:rPr>
          <w:rFonts w:hint="eastAsia" w:eastAsia="仿宋_GB2312"/>
          <w:color w:val="000000"/>
          <w:kern w:val="0"/>
          <w:sz w:val="32"/>
          <w:szCs w:val="28"/>
          <w:lang w:val="en-US" w:eastAsia="zh-CN"/>
        </w:rPr>
        <w:t>45</w:t>
      </w:r>
      <w:r>
        <w:rPr>
          <w:rFonts w:hint="eastAsia" w:eastAsia="仿宋_GB2312"/>
          <w:color w:val="000000"/>
          <w:kern w:val="0"/>
          <w:sz w:val="32"/>
          <w:szCs w:val="28"/>
        </w:rPr>
        <w:t>号</w:t>
      </w:r>
    </w:p>
    <w:p>
      <w:pPr>
        <w:rPr>
          <w:rFonts w:ascii="黑体" w:hAnsi="Times New Roman" w:eastAsia="黑体"/>
          <w:color w:val="FF0000"/>
          <w:sz w:val="28"/>
          <w:szCs w:val="28"/>
          <w:u w:val="thick"/>
        </w:rPr>
      </w:pPr>
      <w:r>
        <w:rPr>
          <w:rFonts w:hint="eastAsia" w:ascii="黑体" w:hAnsi="Times New Roman" w:eastAsia="黑体"/>
          <w:color w:val="FF0000"/>
          <w:sz w:val="28"/>
          <w:szCs w:val="28"/>
          <w:u w:val="thick"/>
        </w:rPr>
        <w:t xml:space="preserve">                                                            </w:t>
      </w:r>
    </w:p>
    <w:p>
      <w:pPr>
        <w:widowControl/>
        <w:spacing w:line="360" w:lineRule="auto"/>
        <w:jc w:val="center"/>
        <w:rPr>
          <w:rFonts w:hint="eastAsia" w:ascii="华文中宋" w:hAnsi="华文中宋" w:eastAsia="华文中宋"/>
          <w:b/>
          <w:kern w:val="0"/>
          <w:sz w:val="36"/>
          <w:szCs w:val="36"/>
        </w:rPr>
      </w:pPr>
      <w:r>
        <w:rPr>
          <w:rFonts w:hint="eastAsia" w:ascii="华文中宋" w:hAnsi="华文中宋" w:eastAsia="华文中宋"/>
          <w:b/>
          <w:kern w:val="0"/>
          <w:sz w:val="36"/>
          <w:szCs w:val="36"/>
        </w:rPr>
        <w:t>上海电子信息职业技术学院学生会权益部制度</w:t>
      </w:r>
    </w:p>
    <w:p>
      <w:pPr>
        <w:keepNext w:val="0"/>
        <w:keepLines w:val="0"/>
        <w:pageBreakBefore w:val="0"/>
        <w:widowControl w:val="0"/>
        <w:kinsoku/>
        <w:wordWrap/>
        <w:overflowPunct/>
        <w:topLinePunct w:val="0"/>
        <w:autoSpaceDE/>
        <w:autoSpaceDN/>
        <w:bidi w:val="0"/>
        <w:adjustRightInd/>
        <w:snapToGrid w:val="0"/>
        <w:spacing w:before="157" w:beforeLines="50"/>
        <w:jc w:val="center"/>
        <w:textAlignment w:val="auto"/>
        <w:outlineLvl w:val="9"/>
        <w:rPr>
          <w:rFonts w:ascii="华文中宋" w:hAnsi="华文中宋" w:eastAsia="华文中宋"/>
          <w:b/>
          <w:kern w:val="0"/>
          <w:sz w:val="36"/>
          <w:szCs w:val="36"/>
        </w:rPr>
      </w:pPr>
    </w:p>
    <w:p>
      <w:pPr>
        <w:pStyle w:val="10"/>
        <w:widowControl/>
        <w:numPr>
          <w:ilvl w:val="0"/>
          <w:numId w:val="1"/>
        </w:numPr>
        <w:spacing w:line="360" w:lineRule="auto"/>
        <w:ind w:firstLineChars="0"/>
        <w:jc w:val="center"/>
        <w:rPr>
          <w:rFonts w:ascii="仿宋" w:hAnsi="仿宋" w:eastAsia="仿宋" w:cs="宋体"/>
          <w:b/>
          <w:snapToGrid w:val="0"/>
          <w:kern w:val="24"/>
          <w:sz w:val="32"/>
          <w:szCs w:val="32"/>
        </w:rPr>
      </w:pPr>
      <w:r>
        <w:rPr>
          <w:rFonts w:hint="eastAsia" w:ascii="仿宋" w:hAnsi="仿宋" w:eastAsia="仿宋" w:cs="宋体"/>
          <w:b/>
          <w:snapToGrid w:val="0"/>
          <w:kern w:val="24"/>
          <w:sz w:val="32"/>
          <w:szCs w:val="32"/>
        </w:rPr>
        <w:t xml:space="preserve"> 总则</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第一条</w:t>
      </w:r>
      <w:r>
        <w:rPr>
          <w:rFonts w:hint="eastAsia" w:ascii="仿宋" w:hAnsi="仿宋" w:eastAsia="仿宋" w:cs="宋体"/>
          <w:snapToGrid w:val="0"/>
          <w:kern w:val="24"/>
          <w:sz w:val="32"/>
          <w:szCs w:val="32"/>
        </w:rPr>
        <w:t xml:space="preserve"> 为深入学习贯彻习近平总书记系列讲话精神、中央党的群团工作会议，切实加强我校学生会权益职能部门的各项工作，推进依法治校理念思想，进一步维护我校师生正当权益诉求，</w:t>
      </w:r>
      <w:r>
        <w:rPr>
          <w:rFonts w:ascii="仿宋" w:hAnsi="仿宋" w:eastAsia="仿宋" w:cs="宋体"/>
          <w:snapToGrid w:val="0"/>
          <w:kern w:val="24"/>
          <w:sz w:val="32"/>
          <w:szCs w:val="32"/>
        </w:rPr>
        <w:t>完善</w:t>
      </w:r>
      <w:r>
        <w:rPr>
          <w:rFonts w:hint="eastAsia" w:ascii="仿宋" w:hAnsi="仿宋" w:eastAsia="仿宋" w:cs="宋体"/>
          <w:snapToGrid w:val="0"/>
          <w:kern w:val="24"/>
          <w:sz w:val="32"/>
          <w:szCs w:val="32"/>
        </w:rPr>
        <w:t>和规范</w:t>
      </w:r>
      <w:r>
        <w:rPr>
          <w:rFonts w:ascii="仿宋" w:hAnsi="仿宋" w:eastAsia="仿宋" w:cs="宋体"/>
          <w:snapToGrid w:val="0"/>
          <w:kern w:val="24"/>
          <w:sz w:val="32"/>
          <w:szCs w:val="32"/>
        </w:rPr>
        <w:t>权益</w:t>
      </w:r>
      <w:r>
        <w:rPr>
          <w:rFonts w:hint="eastAsia" w:ascii="仿宋" w:hAnsi="仿宋" w:eastAsia="仿宋" w:cs="宋体"/>
          <w:snapToGrid w:val="0"/>
          <w:kern w:val="24"/>
          <w:sz w:val="32"/>
          <w:szCs w:val="32"/>
        </w:rPr>
        <w:t>职能部门</w:t>
      </w:r>
      <w:r>
        <w:rPr>
          <w:rFonts w:ascii="仿宋" w:hAnsi="仿宋" w:eastAsia="仿宋" w:cs="宋体"/>
          <w:snapToGrid w:val="0"/>
          <w:kern w:val="24"/>
          <w:sz w:val="32"/>
          <w:szCs w:val="32"/>
        </w:rPr>
        <w:t>的</w:t>
      </w:r>
      <w:r>
        <w:rPr>
          <w:rFonts w:hint="eastAsia" w:ascii="仿宋" w:hAnsi="仿宋" w:eastAsia="仿宋" w:cs="宋体"/>
          <w:snapToGrid w:val="0"/>
          <w:kern w:val="24"/>
          <w:sz w:val="32"/>
          <w:szCs w:val="32"/>
        </w:rPr>
        <w:t>工作制度，根据《中长期青年发展规划（2016-2025年）》《学联学生会组织改革实施办法》《上海电子信息职业技术学院学生会章程》及有关政策文件的要求，结合我校学生会权益部实际，</w:t>
      </w:r>
      <w:r>
        <w:rPr>
          <w:rFonts w:ascii="仿宋" w:hAnsi="仿宋" w:eastAsia="仿宋" w:cs="宋体"/>
          <w:snapToGrid w:val="0"/>
          <w:kern w:val="24"/>
          <w:sz w:val="32"/>
          <w:szCs w:val="32"/>
        </w:rPr>
        <w:t>特制定</w:t>
      </w:r>
      <w:r>
        <w:rPr>
          <w:rFonts w:hint="eastAsia" w:ascii="仿宋" w:hAnsi="仿宋" w:eastAsia="仿宋" w:cs="宋体"/>
          <w:snapToGrid w:val="0"/>
          <w:kern w:val="24"/>
          <w:sz w:val="32"/>
          <w:szCs w:val="32"/>
        </w:rPr>
        <w:t>本制度。</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第二条</w:t>
      </w:r>
      <w:r>
        <w:rPr>
          <w:rFonts w:hint="eastAsia" w:ascii="仿宋" w:hAnsi="仿宋" w:eastAsia="仿宋" w:cs="宋体"/>
          <w:snapToGrid w:val="0"/>
          <w:kern w:val="24"/>
          <w:sz w:val="32"/>
          <w:szCs w:val="32"/>
        </w:rPr>
        <w:t xml:space="preserve"> 上海电子信息职业技术学院</w:t>
      </w:r>
      <w:r>
        <w:rPr>
          <w:rFonts w:ascii="仿宋" w:hAnsi="仿宋" w:eastAsia="仿宋" w:cs="宋体"/>
          <w:snapToGrid w:val="0"/>
          <w:kern w:val="24"/>
          <w:sz w:val="32"/>
          <w:szCs w:val="32"/>
        </w:rPr>
        <w:t>学生会权益部是校学生会的重要组成部分，是</w:t>
      </w:r>
      <w:r>
        <w:rPr>
          <w:rFonts w:hint="eastAsia" w:ascii="仿宋" w:hAnsi="仿宋" w:eastAsia="仿宋" w:cs="宋体"/>
          <w:snapToGrid w:val="0"/>
          <w:kern w:val="24"/>
          <w:sz w:val="32"/>
          <w:szCs w:val="32"/>
        </w:rPr>
        <w:t>上海电子信息职业技术学院</w:t>
      </w:r>
      <w:r>
        <w:rPr>
          <w:rFonts w:ascii="仿宋" w:hAnsi="仿宋" w:eastAsia="仿宋" w:cs="宋体"/>
          <w:snapToGrid w:val="0"/>
          <w:kern w:val="24"/>
          <w:sz w:val="32"/>
          <w:szCs w:val="32"/>
        </w:rPr>
        <w:t>学生会的直属部门，接受校团委的指导和校学生会的领导，</w:t>
      </w:r>
      <w:r>
        <w:rPr>
          <w:rFonts w:hint="eastAsia" w:ascii="仿宋" w:hAnsi="仿宋" w:eastAsia="仿宋" w:cs="宋体"/>
          <w:snapToGrid w:val="0"/>
          <w:kern w:val="24"/>
          <w:sz w:val="32"/>
          <w:szCs w:val="32"/>
        </w:rPr>
        <w:t>遵守校学生会的各项规章制度。</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第三条</w:t>
      </w:r>
      <w:r>
        <w:rPr>
          <w:rFonts w:hint="eastAsia" w:ascii="仿宋" w:hAnsi="仿宋" w:eastAsia="仿宋" w:cs="宋体"/>
          <w:snapToGrid w:val="0"/>
          <w:kern w:val="24"/>
          <w:sz w:val="32"/>
          <w:szCs w:val="32"/>
        </w:rPr>
        <w:t xml:space="preserve"> 校学生会权益部是以服务广大学生为原则、维护广大学生权益为宗旨、是与广大学生切身利益联系最为密切的部门，是联系校方与学生的纽带，积极维护广大同学的正当权益、反映同学的意见和要求，参与学校有关学生事务的民主管理，推动校园民主建设并促进广大同学成为学校改革的坚定支持者、学校发展的推动者和学校稳定的维护者。</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第四条</w:t>
      </w:r>
      <w:r>
        <w:rPr>
          <w:rFonts w:hint="eastAsia" w:ascii="仿宋" w:hAnsi="仿宋" w:eastAsia="仿宋" w:cs="宋体"/>
          <w:snapToGrid w:val="0"/>
          <w:kern w:val="24"/>
          <w:sz w:val="32"/>
          <w:szCs w:val="32"/>
        </w:rPr>
        <w:t xml:space="preserve"> 权益部作为连接学校和学生间的载体，权益部全体成员须遵守宪法、法律、法规和党的路线方针政策，以及教育部门、共青团组织、学联组织和学校的有关规定，</w:t>
      </w:r>
      <w:r>
        <w:rPr>
          <w:rFonts w:ascii="仿宋" w:hAnsi="仿宋" w:eastAsia="仿宋" w:cs="Arial"/>
          <w:color w:val="333333"/>
          <w:sz w:val="32"/>
          <w:szCs w:val="32"/>
        </w:rPr>
        <w:t>不得影响学校正常的教学科研秩序与安定和谐的校园氛围，</w:t>
      </w:r>
      <w:r>
        <w:rPr>
          <w:rFonts w:hint="eastAsia" w:ascii="仿宋" w:hAnsi="仿宋" w:eastAsia="仿宋" w:cs="宋体"/>
          <w:snapToGrid w:val="0"/>
          <w:kern w:val="24"/>
          <w:sz w:val="32"/>
          <w:szCs w:val="32"/>
        </w:rPr>
        <w:t>积极践行和弘扬社会主义核心价值观；</w:t>
      </w:r>
      <w:r>
        <w:rPr>
          <w:rFonts w:ascii="仿宋" w:hAnsi="仿宋" w:eastAsia="仿宋" w:cs="宋体"/>
          <w:snapToGrid w:val="0"/>
          <w:kern w:val="24"/>
          <w:sz w:val="32"/>
          <w:szCs w:val="32"/>
        </w:rPr>
        <w:t>以维护同学权益为己任，做</w:t>
      </w:r>
      <w:r>
        <w:rPr>
          <w:rFonts w:hint="eastAsia" w:ascii="仿宋" w:hAnsi="仿宋" w:eastAsia="仿宋" w:cs="宋体"/>
          <w:snapToGrid w:val="0"/>
          <w:kern w:val="24"/>
          <w:sz w:val="32"/>
          <w:szCs w:val="32"/>
        </w:rPr>
        <w:t>好</w:t>
      </w:r>
      <w:r>
        <w:rPr>
          <w:rFonts w:ascii="仿宋" w:hAnsi="仿宋" w:eastAsia="仿宋" w:cs="宋体"/>
          <w:snapToGrid w:val="0"/>
          <w:kern w:val="24"/>
          <w:sz w:val="32"/>
          <w:szCs w:val="32"/>
        </w:rPr>
        <w:t>学校与学生间的</w:t>
      </w:r>
      <w:r>
        <w:rPr>
          <w:rFonts w:hint="eastAsia" w:ascii="仿宋" w:hAnsi="仿宋" w:eastAsia="仿宋" w:cs="宋体"/>
          <w:snapToGrid w:val="0"/>
          <w:kern w:val="24"/>
          <w:sz w:val="32"/>
          <w:szCs w:val="32"/>
        </w:rPr>
        <w:t>沟通</w:t>
      </w:r>
      <w:r>
        <w:rPr>
          <w:rFonts w:ascii="仿宋" w:hAnsi="仿宋" w:eastAsia="仿宋" w:cs="宋体"/>
          <w:snapToGrid w:val="0"/>
          <w:kern w:val="24"/>
          <w:sz w:val="32"/>
          <w:szCs w:val="32"/>
        </w:rPr>
        <w:t>桥梁，提高广大同学维护自</w:t>
      </w:r>
      <w:r>
        <w:rPr>
          <w:rFonts w:hint="eastAsia" w:ascii="仿宋" w:hAnsi="仿宋" w:eastAsia="仿宋" w:cs="宋体"/>
          <w:snapToGrid w:val="0"/>
          <w:kern w:val="24"/>
          <w:sz w:val="32"/>
          <w:szCs w:val="32"/>
        </w:rPr>
        <w:t>身</w:t>
      </w:r>
      <w:r>
        <w:rPr>
          <w:rFonts w:ascii="仿宋" w:hAnsi="仿宋" w:eastAsia="仿宋" w:cs="宋体"/>
          <w:snapToGrid w:val="0"/>
          <w:kern w:val="24"/>
          <w:sz w:val="32"/>
          <w:szCs w:val="32"/>
        </w:rPr>
        <w:t>权益的意识，增强法制观念。</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 xml:space="preserve">第五条 </w:t>
      </w:r>
      <w:r>
        <w:rPr>
          <w:rFonts w:ascii="仿宋" w:hAnsi="仿宋" w:eastAsia="仿宋" w:cs="宋体"/>
          <w:snapToGrid w:val="0"/>
          <w:kern w:val="24"/>
          <w:sz w:val="32"/>
          <w:szCs w:val="32"/>
        </w:rPr>
        <w:t>权益部在工作中要始终坚持以</w:t>
      </w:r>
      <w:r>
        <w:rPr>
          <w:rFonts w:hint="eastAsia" w:ascii="仿宋" w:hAnsi="仿宋" w:eastAsia="仿宋" w:cs="宋体"/>
          <w:snapToGrid w:val="0"/>
          <w:kern w:val="24"/>
          <w:sz w:val="32"/>
          <w:szCs w:val="32"/>
        </w:rPr>
        <w:t>“</w:t>
      </w:r>
      <w:r>
        <w:rPr>
          <w:rFonts w:ascii="仿宋" w:hAnsi="仿宋" w:eastAsia="仿宋" w:cs="宋体"/>
          <w:snapToGrid w:val="0"/>
          <w:kern w:val="24"/>
          <w:sz w:val="32"/>
          <w:szCs w:val="32"/>
        </w:rPr>
        <w:t>和谐</w:t>
      </w:r>
      <w:r>
        <w:rPr>
          <w:rFonts w:hint="eastAsia" w:ascii="仿宋" w:hAnsi="仿宋" w:eastAsia="仿宋" w:cs="宋体"/>
          <w:snapToGrid w:val="0"/>
          <w:kern w:val="24"/>
          <w:sz w:val="32"/>
          <w:szCs w:val="32"/>
        </w:rPr>
        <w:t>”</w:t>
      </w:r>
      <w:r>
        <w:rPr>
          <w:rFonts w:ascii="仿宋" w:hAnsi="仿宋" w:eastAsia="仿宋" w:cs="宋体"/>
          <w:snapToGrid w:val="0"/>
          <w:kern w:val="24"/>
          <w:sz w:val="32"/>
          <w:szCs w:val="32"/>
        </w:rPr>
        <w:t>为统揽，以“创新”为动力，以“建设”为根本,</w:t>
      </w:r>
      <w:r>
        <w:rPr>
          <w:rFonts w:ascii="Calibri" w:hAnsi="Calibri" w:eastAsia="仿宋" w:cs="Calibri"/>
          <w:snapToGrid w:val="0"/>
          <w:kern w:val="24"/>
          <w:sz w:val="32"/>
          <w:szCs w:val="32"/>
        </w:rPr>
        <w:t> </w:t>
      </w:r>
      <w:r>
        <w:rPr>
          <w:rFonts w:ascii="仿宋" w:hAnsi="仿宋" w:eastAsia="仿宋" w:cs="宋体"/>
          <w:snapToGrid w:val="0"/>
          <w:kern w:val="24"/>
          <w:sz w:val="32"/>
          <w:szCs w:val="32"/>
        </w:rPr>
        <w:t>以“发展”为目标</w:t>
      </w:r>
      <w:r>
        <w:rPr>
          <w:rFonts w:hint="eastAsia" w:ascii="仿宋" w:hAnsi="仿宋" w:eastAsia="仿宋" w:cs="宋体"/>
          <w:snapToGrid w:val="0"/>
          <w:kern w:val="24"/>
          <w:sz w:val="32"/>
          <w:szCs w:val="32"/>
        </w:rPr>
        <w:t>的工作原则，</w:t>
      </w:r>
      <w:r>
        <w:rPr>
          <w:rFonts w:ascii="仿宋" w:hAnsi="仿宋" w:eastAsia="仿宋" w:cs="宋体"/>
          <w:snapToGrid w:val="0"/>
          <w:kern w:val="24"/>
          <w:sz w:val="32"/>
          <w:szCs w:val="32"/>
        </w:rPr>
        <w:t>牢牢把握发展方向，紧紧围绕“建设和谐</w:t>
      </w:r>
      <w:r>
        <w:rPr>
          <w:rFonts w:hint="eastAsia" w:ascii="仿宋" w:hAnsi="仿宋" w:eastAsia="仿宋" w:cs="宋体"/>
          <w:snapToGrid w:val="0"/>
          <w:kern w:val="24"/>
          <w:sz w:val="32"/>
          <w:szCs w:val="32"/>
        </w:rPr>
        <w:t>文明</w:t>
      </w:r>
      <w:r>
        <w:rPr>
          <w:rFonts w:ascii="仿宋" w:hAnsi="仿宋" w:eastAsia="仿宋" w:cs="宋体"/>
          <w:snapToGrid w:val="0"/>
          <w:kern w:val="24"/>
          <w:sz w:val="32"/>
          <w:szCs w:val="32"/>
        </w:rPr>
        <w:t>校园”的主旋律。同时，创新思路，改进工作方法，以自身建设作为基础，提高部门</w:t>
      </w:r>
      <w:r>
        <w:rPr>
          <w:rFonts w:hint="eastAsia" w:ascii="仿宋" w:hAnsi="仿宋" w:eastAsia="仿宋" w:cs="宋体"/>
          <w:snapToGrid w:val="0"/>
          <w:kern w:val="24"/>
          <w:sz w:val="32"/>
          <w:szCs w:val="32"/>
        </w:rPr>
        <w:t>工作</w:t>
      </w:r>
      <w:r>
        <w:rPr>
          <w:rFonts w:ascii="仿宋" w:hAnsi="仿宋" w:eastAsia="仿宋" w:cs="宋体"/>
          <w:snapToGrid w:val="0"/>
          <w:kern w:val="24"/>
          <w:sz w:val="32"/>
          <w:szCs w:val="32"/>
        </w:rPr>
        <w:t>效率，坚持“赢得党政信赖、赢得同学信任、为可为之事”的工作方向，勇于开拓，勤于实践，切实保障同学的合法权益，不断推动学校维权事业的发展。</w:t>
      </w:r>
    </w:p>
    <w:p>
      <w:pPr>
        <w:widowControl/>
        <w:spacing w:line="360" w:lineRule="auto"/>
        <w:ind w:firstLine="643" w:firstLineChars="200"/>
        <w:jc w:val="center"/>
        <w:rPr>
          <w:rFonts w:ascii="仿宋" w:hAnsi="仿宋" w:eastAsia="仿宋" w:cs="宋体"/>
          <w:b/>
          <w:snapToGrid w:val="0"/>
          <w:kern w:val="24"/>
          <w:sz w:val="32"/>
          <w:szCs w:val="32"/>
        </w:rPr>
      </w:pPr>
      <w:r>
        <w:rPr>
          <w:rFonts w:hint="eastAsia" w:ascii="仿宋" w:hAnsi="仿宋" w:eastAsia="仿宋" w:cs="宋体"/>
          <w:b/>
          <w:snapToGrid w:val="0"/>
          <w:kern w:val="24"/>
          <w:sz w:val="32"/>
          <w:szCs w:val="32"/>
        </w:rPr>
        <w:t>第二章 组织机构</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 xml:space="preserve">第六条 </w:t>
      </w:r>
      <w:r>
        <w:rPr>
          <w:rFonts w:hint="eastAsia" w:ascii="仿宋" w:hAnsi="仿宋" w:eastAsia="仿宋" w:cs="Adobe 黑体 Std R"/>
          <w:bCs/>
          <w:color w:val="000000"/>
          <w:sz w:val="32"/>
          <w:szCs w:val="32"/>
        </w:rPr>
        <w:t>上海电子信息职业技术学院学生会权益部在校内学生组织中发挥枢纽型作用，以服务广大同学为落脚点，做好学校与学生间的沟通桥梁，校学生会1名主席团成员负责学生会权益部工作。</w:t>
      </w:r>
    </w:p>
    <w:p>
      <w:pPr>
        <w:widowControl/>
        <w:spacing w:line="360" w:lineRule="auto"/>
        <w:ind w:firstLine="643" w:firstLineChars="200"/>
        <w:rPr>
          <w:rFonts w:hint="eastAsia" w:ascii="仿宋" w:hAnsi="仿宋" w:eastAsia="仿宋" w:cs="宋体"/>
          <w:snapToGrid w:val="0"/>
          <w:kern w:val="24"/>
          <w:sz w:val="32"/>
          <w:szCs w:val="32"/>
        </w:rPr>
      </w:pPr>
      <w:r>
        <w:rPr>
          <w:rFonts w:hint="eastAsia" w:ascii="仿宋" w:hAnsi="仿宋" w:eastAsia="仿宋" w:cs="宋体"/>
          <w:b/>
          <w:snapToGrid w:val="0"/>
          <w:kern w:val="24"/>
          <w:sz w:val="32"/>
          <w:szCs w:val="32"/>
        </w:rPr>
        <w:t xml:space="preserve">第七条 </w:t>
      </w:r>
      <w:r>
        <w:rPr>
          <w:rFonts w:hint="eastAsia" w:ascii="仿宋" w:hAnsi="仿宋" w:eastAsia="仿宋" w:cs="宋体"/>
          <w:snapToGrid w:val="0"/>
          <w:kern w:val="24"/>
          <w:sz w:val="32"/>
          <w:szCs w:val="32"/>
        </w:rPr>
        <w:t>上海电子信息职业技术学院学生会权益部设有相应分管主席、部长、副部长以及部门干事。权益工作组分为权益文稿组、平台运营组和设计组，各部门工作组服从校团委的指导和学生会的领导，受其监督，切实做好相应工作。</w:t>
      </w:r>
    </w:p>
    <w:p>
      <w:pPr>
        <w:widowControl/>
        <w:spacing w:line="360" w:lineRule="auto"/>
        <w:ind w:firstLine="640" w:firstLineChars="200"/>
        <w:rPr>
          <w:rFonts w:hint="eastAsia" w:ascii="仿宋" w:hAnsi="仿宋" w:eastAsia="仿宋" w:cs="宋体"/>
          <w:snapToGrid w:val="0"/>
          <w:kern w:val="24"/>
          <w:sz w:val="32"/>
          <w:szCs w:val="32"/>
        </w:rPr>
      </w:pPr>
    </w:p>
    <w:p>
      <w:pPr>
        <w:widowControl/>
        <w:spacing w:line="360" w:lineRule="auto"/>
        <w:ind w:firstLine="643" w:firstLineChars="200"/>
        <w:jc w:val="center"/>
        <w:rPr>
          <w:rFonts w:ascii="仿宋" w:hAnsi="仿宋" w:eastAsia="仿宋" w:cs="宋体"/>
          <w:b/>
          <w:snapToGrid w:val="0"/>
          <w:kern w:val="24"/>
          <w:sz w:val="32"/>
          <w:szCs w:val="32"/>
        </w:rPr>
      </w:pPr>
      <w:r>
        <w:rPr>
          <w:rFonts w:hint="eastAsia" w:ascii="仿宋" w:hAnsi="仿宋" w:eastAsia="仿宋" w:cs="宋体"/>
          <w:b/>
          <w:snapToGrid w:val="0"/>
          <w:kern w:val="24"/>
          <w:sz w:val="32"/>
          <w:szCs w:val="32"/>
        </w:rPr>
        <w:t>第三章 工作介绍</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 xml:space="preserve">第八条 </w:t>
      </w:r>
      <w:r>
        <w:rPr>
          <w:rFonts w:ascii="仿宋" w:hAnsi="仿宋" w:eastAsia="仿宋" w:cs="宋体"/>
          <w:snapToGrid w:val="0"/>
          <w:kern w:val="24"/>
          <w:sz w:val="32"/>
          <w:szCs w:val="32"/>
        </w:rPr>
        <w:t>负责收集、整理和反应学生正当诉求，通过线上线下活动，深入广大学生之中，了解学生的正当诉求，</w:t>
      </w:r>
      <w:r>
        <w:rPr>
          <w:rFonts w:hint="eastAsia" w:ascii="仿宋" w:hAnsi="仿宋" w:eastAsia="仿宋" w:cs="宋体"/>
          <w:snapToGrid w:val="0"/>
          <w:kern w:val="24"/>
          <w:sz w:val="32"/>
          <w:szCs w:val="32"/>
        </w:rPr>
        <w:t>对学生的权益问题进行</w:t>
      </w:r>
      <w:r>
        <w:rPr>
          <w:rFonts w:ascii="仿宋" w:hAnsi="仿宋" w:eastAsia="仿宋" w:cs="宋体"/>
          <w:snapToGrid w:val="0"/>
          <w:kern w:val="24"/>
          <w:sz w:val="32"/>
          <w:szCs w:val="32"/>
        </w:rPr>
        <w:t>收集，定期整理汇集学生关于促进学生发展的想法意见，并汇报相关职能部门和校领导，及时作出改善、升级，促进学校发展。</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 xml:space="preserve">第九条 </w:t>
      </w:r>
      <w:r>
        <w:rPr>
          <w:rFonts w:ascii="仿宋" w:hAnsi="仿宋" w:eastAsia="仿宋" w:cs="宋体"/>
          <w:snapToGrid w:val="0"/>
          <w:kern w:val="24"/>
          <w:sz w:val="32"/>
          <w:szCs w:val="32"/>
        </w:rPr>
        <w:t>秉承“维护学生权益，服务学生”的宗旨，是学生与学校之间的沟通桥梁，以民主的方式向上反映学生的意见，向下反馈学校的回复，从而切实保障学生权益，营造广大上电学子良好的学习生活环境。</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 xml:space="preserve">第十条 </w:t>
      </w:r>
      <w:r>
        <w:rPr>
          <w:rFonts w:ascii="仿宋" w:hAnsi="仿宋" w:eastAsia="仿宋" w:cs="宋体"/>
          <w:snapToGrid w:val="0"/>
          <w:kern w:val="24"/>
          <w:sz w:val="32"/>
          <w:szCs w:val="32"/>
        </w:rPr>
        <w:t>负责定期开展维权等丰富学生校园文化生活的活动，如“3.15消费者权益日”、双十一“回箱活动”等。开展代表和维护广大同学的合法权益的日常工作，参加学校相关会议，合理有序表达学生利益诉求。</w:t>
      </w:r>
    </w:p>
    <w:p>
      <w:pPr>
        <w:widowControl/>
        <w:spacing w:line="360" w:lineRule="auto"/>
        <w:rPr>
          <w:rFonts w:ascii="仿宋" w:hAnsi="仿宋" w:eastAsia="仿宋" w:cs="宋体"/>
          <w:snapToGrid w:val="0"/>
          <w:kern w:val="24"/>
          <w:sz w:val="32"/>
          <w:szCs w:val="32"/>
        </w:rPr>
      </w:pPr>
    </w:p>
    <w:p>
      <w:pPr>
        <w:widowControl/>
        <w:spacing w:line="360" w:lineRule="auto"/>
        <w:ind w:firstLine="643" w:firstLineChars="200"/>
        <w:jc w:val="center"/>
        <w:rPr>
          <w:rFonts w:ascii="仿宋" w:hAnsi="仿宋" w:eastAsia="仿宋" w:cs="宋体"/>
          <w:b/>
          <w:snapToGrid w:val="0"/>
          <w:kern w:val="24"/>
          <w:sz w:val="32"/>
          <w:szCs w:val="32"/>
        </w:rPr>
      </w:pPr>
      <w:r>
        <w:rPr>
          <w:rFonts w:hint="eastAsia" w:ascii="仿宋" w:hAnsi="仿宋" w:eastAsia="仿宋" w:cs="宋体"/>
          <w:b/>
          <w:snapToGrid w:val="0"/>
          <w:kern w:val="24"/>
          <w:sz w:val="32"/>
          <w:szCs w:val="32"/>
        </w:rPr>
        <w:t>第四章 部门的权利与义务</w:t>
      </w:r>
    </w:p>
    <w:p>
      <w:pPr>
        <w:widowControl/>
        <w:spacing w:line="360" w:lineRule="auto"/>
        <w:ind w:firstLine="643" w:firstLineChars="200"/>
        <w:jc w:val="left"/>
        <w:rPr>
          <w:rFonts w:ascii="仿宋" w:hAnsi="仿宋" w:eastAsia="仿宋" w:cs="宋体"/>
          <w:snapToGrid w:val="0"/>
          <w:kern w:val="24"/>
          <w:sz w:val="32"/>
          <w:szCs w:val="32"/>
        </w:rPr>
      </w:pPr>
      <w:r>
        <w:rPr>
          <w:rFonts w:hint="eastAsia" w:ascii="仿宋" w:hAnsi="仿宋" w:eastAsia="仿宋" w:cs="宋体"/>
          <w:b/>
          <w:snapToGrid w:val="0"/>
          <w:kern w:val="24"/>
          <w:sz w:val="32"/>
          <w:szCs w:val="32"/>
        </w:rPr>
        <w:t xml:space="preserve">第十一条 </w:t>
      </w:r>
      <w:r>
        <w:rPr>
          <w:rFonts w:hint="eastAsia" w:ascii="仿宋" w:hAnsi="仿宋" w:eastAsia="仿宋" w:cs="宋体"/>
          <w:snapToGrid w:val="0"/>
          <w:kern w:val="24"/>
          <w:sz w:val="32"/>
          <w:szCs w:val="32"/>
        </w:rPr>
        <w:t>参与部门建设活动时，部门成员可提出对其活动的自身建议和看法，使用部门提供的资源；申请部门优秀干事，享有评优推优等表彰的机会；在履行相关程序后，具有自愿退出部门的权利；对部门处分、评优的结果具有异议时，可当场提出抗议或向校委会、学生会申诉。</w:t>
      </w:r>
    </w:p>
    <w:p>
      <w:pPr>
        <w:widowControl/>
        <w:spacing w:line="360" w:lineRule="auto"/>
        <w:ind w:firstLine="643" w:firstLineChars="200"/>
        <w:jc w:val="left"/>
        <w:rPr>
          <w:rFonts w:ascii="仿宋" w:hAnsi="仿宋" w:eastAsia="仿宋" w:cs="宋体"/>
          <w:snapToGrid w:val="0"/>
          <w:kern w:val="24"/>
          <w:sz w:val="32"/>
          <w:szCs w:val="32"/>
        </w:rPr>
      </w:pPr>
      <w:r>
        <w:rPr>
          <w:rFonts w:hint="eastAsia" w:ascii="仿宋" w:hAnsi="仿宋" w:eastAsia="仿宋" w:cs="宋体"/>
          <w:b/>
          <w:snapToGrid w:val="0"/>
          <w:kern w:val="24"/>
          <w:sz w:val="32"/>
          <w:szCs w:val="32"/>
        </w:rPr>
        <w:t xml:space="preserve">第十二条 </w:t>
      </w:r>
      <w:r>
        <w:rPr>
          <w:rFonts w:hint="eastAsia" w:ascii="仿宋" w:hAnsi="仿宋" w:eastAsia="仿宋" w:cs="宋体"/>
          <w:snapToGrid w:val="0"/>
          <w:kern w:val="24"/>
          <w:sz w:val="32"/>
          <w:szCs w:val="32"/>
        </w:rPr>
        <w:t>部门成员需要遵守上海电子信息校学生会权益部的部门规章，积极参与部门各项活动，按时出席值班以及部门例会，部门成员之间</w:t>
      </w:r>
      <w:r>
        <w:rPr>
          <w:rFonts w:ascii="仿宋" w:hAnsi="仿宋" w:eastAsia="仿宋" w:cs="宋体"/>
          <w:snapToGrid w:val="0"/>
          <w:kern w:val="24"/>
          <w:sz w:val="32"/>
          <w:szCs w:val="32"/>
        </w:rPr>
        <w:t>相互团结，相互激励，加强沟通，学会协调</w:t>
      </w:r>
      <w:r>
        <w:rPr>
          <w:rFonts w:hint="eastAsia" w:ascii="仿宋" w:hAnsi="仿宋" w:eastAsia="仿宋" w:cs="宋体"/>
          <w:snapToGrid w:val="0"/>
          <w:kern w:val="24"/>
          <w:sz w:val="32"/>
          <w:szCs w:val="32"/>
        </w:rPr>
        <w:t>，按时、有质量的完成部门领导布置的任务。</w:t>
      </w:r>
    </w:p>
    <w:p>
      <w:pPr>
        <w:widowControl/>
        <w:spacing w:line="360" w:lineRule="auto"/>
        <w:ind w:firstLine="643" w:firstLineChars="200"/>
        <w:jc w:val="center"/>
        <w:rPr>
          <w:rFonts w:ascii="仿宋" w:hAnsi="仿宋" w:eastAsia="仿宋" w:cs="宋体"/>
          <w:b/>
          <w:snapToGrid w:val="0"/>
          <w:kern w:val="24"/>
          <w:sz w:val="32"/>
          <w:szCs w:val="32"/>
        </w:rPr>
      </w:pPr>
      <w:r>
        <w:rPr>
          <w:rFonts w:hint="eastAsia" w:ascii="仿宋" w:hAnsi="仿宋" w:eastAsia="仿宋" w:cs="宋体"/>
          <w:b/>
          <w:snapToGrid w:val="0"/>
          <w:kern w:val="24"/>
          <w:sz w:val="32"/>
          <w:szCs w:val="32"/>
        </w:rPr>
        <w:t>第五章 部门体系</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 xml:space="preserve">第十三条 </w:t>
      </w:r>
      <w:r>
        <w:rPr>
          <w:rFonts w:hint="eastAsia" w:ascii="仿宋" w:hAnsi="仿宋" w:eastAsia="仿宋" w:cs="宋体"/>
          <w:snapToGrid w:val="0"/>
          <w:kern w:val="24"/>
          <w:sz w:val="32"/>
          <w:szCs w:val="32"/>
        </w:rPr>
        <w:t>部门工作实行部长负责制，明确分工，责任落实到个人。由部长统筹安排，将部门各项细节落实到每一位干事，保证每位干事均有足够的机会接触本部门的事务，并且逐渐熟悉工作流程。各干事按质按时完成各自职责范围内的动作，干事要积极履行自己的职责，工作态度不端正、不认真者按规定进行处理。</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 xml:space="preserve">第十四条 </w:t>
      </w:r>
      <w:r>
        <w:rPr>
          <w:rFonts w:hint="eastAsia" w:ascii="仿宋" w:hAnsi="仿宋" w:eastAsia="仿宋" w:cs="宋体"/>
          <w:snapToGrid w:val="0"/>
          <w:kern w:val="24"/>
          <w:sz w:val="32"/>
          <w:szCs w:val="32"/>
        </w:rPr>
        <w:t>部门内每位干事应根据值班表按时到学生会值班，无正当理由不得迟到或缺席。如有特殊情况应需先填写纸质请假单，经部门负责人同意并签字后，再向综合管理办公室人力资源组当班干事请假，同时需附上请假证明（例如调课通知的截图）。如遇病假，不能当天交请假单的情况，应于第二天补交带有部门负责人签名的请假单。纸质请假单交至W111办公桌上，由综合管理办公室人力资源组收取存档。</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 xml:space="preserve">第十五条 </w:t>
      </w:r>
      <w:r>
        <w:rPr>
          <w:rFonts w:hint="eastAsia" w:ascii="仿宋" w:hAnsi="仿宋" w:eastAsia="仿宋" w:cs="宋体"/>
          <w:snapToGrid w:val="0"/>
          <w:kern w:val="24"/>
          <w:sz w:val="32"/>
          <w:szCs w:val="32"/>
        </w:rPr>
        <w:t>部门例会每周一次，部门内成员应按时出席部门例会，无正当理由不得无故迟到或缺席，如有特殊情况应提前向部门负责人说明情况并递交书面请假单，部门负责人同意后方可请假。</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 xml:space="preserve">第十六条 </w:t>
      </w:r>
      <w:r>
        <w:rPr>
          <w:rFonts w:hint="eastAsia" w:ascii="仿宋" w:hAnsi="仿宋" w:eastAsia="仿宋" w:cs="宋体"/>
          <w:snapToGrid w:val="0"/>
          <w:kern w:val="24"/>
          <w:sz w:val="32"/>
          <w:szCs w:val="32"/>
        </w:rPr>
        <w:t>部门内成员应一天分三次查看问卷星“权益之声”平台，如有问题应立即向当天负责人汇报并自行编辑回复方式，特殊情况则需当天值班干事进行实地考察后对回复内容进行编辑。编辑好回复方式由当天负责人查看同意后进行回复，回复后当天值班干事需对该问题进行归档并交予当天负责人。</w:t>
      </w:r>
    </w:p>
    <w:p>
      <w:pPr>
        <w:widowControl/>
        <w:spacing w:line="360" w:lineRule="auto"/>
        <w:ind w:firstLine="643" w:firstLineChars="200"/>
        <w:rPr>
          <w:rFonts w:ascii="仿宋" w:hAnsi="仿宋" w:eastAsia="仿宋" w:cs="Arial"/>
          <w:color w:val="333333"/>
          <w:sz w:val="32"/>
          <w:szCs w:val="32"/>
        </w:rPr>
      </w:pPr>
      <w:r>
        <w:rPr>
          <w:rFonts w:hint="eastAsia" w:ascii="仿宋" w:hAnsi="仿宋" w:eastAsia="仿宋" w:cs="宋体"/>
          <w:b/>
          <w:snapToGrid w:val="0"/>
          <w:kern w:val="24"/>
          <w:sz w:val="32"/>
          <w:szCs w:val="32"/>
        </w:rPr>
        <w:t xml:space="preserve">第十七条 </w:t>
      </w:r>
      <w:r>
        <w:rPr>
          <w:rFonts w:ascii="仿宋" w:hAnsi="仿宋" w:eastAsia="仿宋" w:cs="Arial"/>
          <w:color w:val="333333"/>
          <w:sz w:val="32"/>
          <w:szCs w:val="32"/>
        </w:rPr>
        <w:t>每月前两周为收集信息的时间,同学们将所遇到的各方面问题投递到权益</w:t>
      </w:r>
      <w:r>
        <w:rPr>
          <w:rFonts w:hint="eastAsia" w:ascii="仿宋" w:hAnsi="仿宋" w:eastAsia="仿宋" w:cs="Arial"/>
          <w:color w:val="333333"/>
          <w:sz w:val="32"/>
          <w:szCs w:val="32"/>
        </w:rPr>
        <w:t>邮</w:t>
      </w:r>
      <w:r>
        <w:rPr>
          <w:rFonts w:ascii="仿宋" w:hAnsi="仿宋" w:eastAsia="仿宋" w:cs="Arial"/>
          <w:color w:val="333333"/>
          <w:sz w:val="32"/>
          <w:szCs w:val="32"/>
        </w:rPr>
        <w:t>箱,于每月第</w:t>
      </w:r>
      <w:r>
        <w:rPr>
          <w:rFonts w:hint="eastAsia" w:ascii="仿宋" w:hAnsi="仿宋" w:eastAsia="仿宋" w:cs="Arial"/>
          <w:color w:val="333333"/>
          <w:sz w:val="32"/>
          <w:szCs w:val="32"/>
        </w:rPr>
        <w:t>三周开始，由权益部成员</w:t>
      </w:r>
      <w:r>
        <w:rPr>
          <w:rFonts w:ascii="仿宋" w:hAnsi="仿宋" w:eastAsia="仿宋" w:cs="Arial"/>
          <w:color w:val="333333"/>
          <w:sz w:val="32"/>
          <w:szCs w:val="32"/>
        </w:rPr>
        <w:t>开箱</w:t>
      </w:r>
      <w:r>
        <w:rPr>
          <w:rFonts w:hint="eastAsia" w:ascii="仿宋" w:hAnsi="仿宋" w:eastAsia="仿宋" w:cs="Arial"/>
          <w:color w:val="333333"/>
          <w:sz w:val="32"/>
          <w:szCs w:val="32"/>
        </w:rPr>
        <w:t>对所收集的权益问题根据类别进行整理并</w:t>
      </w:r>
      <w:r>
        <w:rPr>
          <w:rFonts w:ascii="仿宋" w:hAnsi="仿宋" w:eastAsia="仿宋" w:cs="Arial"/>
          <w:color w:val="333333"/>
          <w:sz w:val="32"/>
          <w:szCs w:val="32"/>
        </w:rPr>
        <w:t>筛</w:t>
      </w:r>
      <w:r>
        <w:rPr>
          <w:rFonts w:hint="eastAsia" w:ascii="仿宋" w:hAnsi="仿宋" w:eastAsia="仿宋" w:cs="Arial"/>
          <w:color w:val="333333"/>
          <w:sz w:val="32"/>
          <w:szCs w:val="32"/>
        </w:rPr>
        <w:t>选</w:t>
      </w:r>
      <w:r>
        <w:rPr>
          <w:rFonts w:ascii="仿宋" w:hAnsi="仿宋" w:eastAsia="仿宋" w:cs="Arial"/>
          <w:color w:val="333333"/>
          <w:sz w:val="32"/>
          <w:szCs w:val="32"/>
        </w:rPr>
        <w:t>，</w:t>
      </w:r>
      <w:r>
        <w:rPr>
          <w:rFonts w:hint="eastAsia" w:ascii="仿宋" w:hAnsi="仿宋" w:eastAsia="仿宋" w:cs="Arial"/>
          <w:color w:val="333333"/>
          <w:sz w:val="32"/>
          <w:szCs w:val="32"/>
        </w:rPr>
        <w:t>将筛选到的问题由权益工作组进行进一步的</w:t>
      </w:r>
      <w:r>
        <w:rPr>
          <w:rFonts w:ascii="仿宋" w:hAnsi="仿宋" w:eastAsia="仿宋" w:cs="Arial"/>
          <w:color w:val="333333"/>
          <w:sz w:val="32"/>
          <w:szCs w:val="32"/>
        </w:rPr>
        <w:t>讨论及处理,</w:t>
      </w:r>
      <w:r>
        <w:rPr>
          <w:rFonts w:hint="eastAsia" w:ascii="仿宋" w:hAnsi="仿宋" w:eastAsia="仿宋" w:cs="Arial"/>
          <w:color w:val="333333"/>
          <w:sz w:val="32"/>
          <w:szCs w:val="32"/>
        </w:rPr>
        <w:t>交由权益负责人或分管主席审核；特殊问题需要</w:t>
      </w:r>
      <w:r>
        <w:rPr>
          <w:rFonts w:ascii="仿宋" w:hAnsi="仿宋" w:eastAsia="仿宋" w:cs="Arial"/>
          <w:color w:val="333333"/>
          <w:sz w:val="32"/>
          <w:szCs w:val="32"/>
        </w:rPr>
        <w:t>第一时间向有关部门反映，</w:t>
      </w:r>
      <w:r>
        <w:rPr>
          <w:rFonts w:hint="eastAsia" w:ascii="仿宋" w:hAnsi="仿宋" w:eastAsia="仿宋" w:cs="Arial"/>
          <w:color w:val="333333"/>
          <w:sz w:val="32"/>
          <w:szCs w:val="32"/>
        </w:rPr>
        <w:t>和相关老师共同协商处理，</w:t>
      </w:r>
      <w:r>
        <w:rPr>
          <w:rFonts w:ascii="仿宋" w:hAnsi="仿宋" w:eastAsia="仿宋" w:cs="Arial"/>
          <w:color w:val="333333"/>
          <w:sz w:val="32"/>
          <w:szCs w:val="32"/>
        </w:rPr>
        <w:t>权益部所有干事分两组</w:t>
      </w:r>
      <w:r>
        <w:rPr>
          <w:rFonts w:hint="eastAsia" w:ascii="仿宋" w:hAnsi="仿宋" w:eastAsia="仿宋" w:cs="Arial"/>
          <w:color w:val="333333"/>
          <w:sz w:val="32"/>
          <w:szCs w:val="32"/>
        </w:rPr>
        <w:t>按月</w:t>
      </w:r>
      <w:r>
        <w:rPr>
          <w:rFonts w:ascii="仿宋" w:hAnsi="仿宋" w:eastAsia="仿宋" w:cs="Arial"/>
          <w:color w:val="333333"/>
          <w:sz w:val="32"/>
          <w:szCs w:val="32"/>
        </w:rPr>
        <w:t>轮流负责工作。</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Arial"/>
          <w:b/>
          <w:color w:val="333333"/>
          <w:sz w:val="32"/>
          <w:szCs w:val="32"/>
        </w:rPr>
        <w:t xml:space="preserve">第十八条 </w:t>
      </w:r>
      <w:r>
        <w:rPr>
          <w:rFonts w:hint="eastAsia" w:ascii="仿宋" w:hAnsi="仿宋" w:eastAsia="仿宋" w:cs="宋体"/>
          <w:snapToGrid w:val="0"/>
          <w:kern w:val="24"/>
          <w:sz w:val="32"/>
          <w:szCs w:val="32"/>
        </w:rPr>
        <w:t>每月安排一位干事根据当月权益问题制作权益月报，</w:t>
      </w:r>
      <w:r>
        <w:rPr>
          <w:rFonts w:hint="eastAsia" w:ascii="仿宋" w:hAnsi="仿宋" w:eastAsia="仿宋" w:cs="Arial"/>
          <w:color w:val="333333"/>
          <w:sz w:val="32"/>
          <w:szCs w:val="32"/>
        </w:rPr>
        <w:t>将处理的权益邮箱问题与权益之声平台的问题整合在一起，以权益月报的形式发布至学校公众号，</w:t>
      </w:r>
      <w:r>
        <w:rPr>
          <w:rFonts w:hint="eastAsia" w:ascii="仿宋" w:hAnsi="仿宋" w:eastAsia="仿宋" w:cs="宋体"/>
          <w:snapToGrid w:val="0"/>
          <w:kern w:val="24"/>
          <w:sz w:val="32"/>
          <w:szCs w:val="32"/>
        </w:rPr>
        <w:t>内容包括当月权益问题数量及详细分类、解决情况等。</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 xml:space="preserve">第十九条 </w:t>
      </w:r>
      <w:r>
        <w:rPr>
          <w:rFonts w:hint="eastAsia" w:ascii="仿宋" w:hAnsi="仿宋" w:eastAsia="仿宋" w:cs="宋体"/>
          <w:snapToGrid w:val="0"/>
          <w:kern w:val="24"/>
          <w:sz w:val="32"/>
          <w:szCs w:val="32"/>
        </w:rPr>
        <w:t>“权益之声”平台和权益邮箱所有的权益问题，处理完成后由相应的值班干事进行归档并发给当天负责人。每周安排固定干事打印本周所有权益问题归档纸质版并交于部门负责人，由部门负责人汇总后交于分管主席。</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 xml:space="preserve">第二十条 </w:t>
      </w:r>
      <w:r>
        <w:rPr>
          <w:rFonts w:hint="eastAsia" w:ascii="仿宋" w:hAnsi="仿宋" w:eastAsia="仿宋" w:cs="宋体"/>
          <w:snapToGrid w:val="0"/>
          <w:kern w:val="24"/>
          <w:sz w:val="32"/>
          <w:szCs w:val="32"/>
        </w:rPr>
        <w:t>部门工作过程中具有不定期的内部考核，考核时要求注重诚信，不得弄虚作假，否则直接影响年终考核的成绩，严重者给与开除处理。</w:t>
      </w:r>
    </w:p>
    <w:p>
      <w:pPr>
        <w:widowControl/>
        <w:spacing w:line="360" w:lineRule="auto"/>
        <w:ind w:firstLine="643" w:firstLineChars="200"/>
        <w:rPr>
          <w:rFonts w:ascii="仿宋" w:hAnsi="仿宋" w:eastAsia="仿宋" w:cs="宋体"/>
          <w:b/>
          <w:snapToGrid w:val="0"/>
          <w:kern w:val="24"/>
          <w:sz w:val="32"/>
          <w:szCs w:val="32"/>
        </w:rPr>
      </w:pPr>
      <w:r>
        <w:rPr>
          <w:rFonts w:hint="eastAsia" w:ascii="仿宋" w:hAnsi="仿宋" w:eastAsia="仿宋" w:cs="宋体"/>
          <w:b/>
          <w:snapToGrid w:val="0"/>
          <w:kern w:val="24"/>
          <w:sz w:val="32"/>
          <w:szCs w:val="32"/>
        </w:rPr>
        <w:t xml:space="preserve">第二十一条 </w:t>
      </w:r>
      <w:r>
        <w:rPr>
          <w:rFonts w:hint="eastAsia" w:ascii="仿宋" w:hAnsi="仿宋" w:eastAsia="仿宋" w:cs="宋体"/>
          <w:snapToGrid w:val="0"/>
          <w:kern w:val="24"/>
          <w:sz w:val="32"/>
          <w:szCs w:val="32"/>
        </w:rPr>
        <w:t>对于部门内工作态度不认真，不按时出席例会、值班，不按时完成工作的干事予以相应惩罚，情节较轻者予以口头警告并书写检讨书的方式进行惩罚。情节严重者予以停职、开除处理。</w:t>
      </w:r>
    </w:p>
    <w:p>
      <w:pPr>
        <w:widowControl/>
        <w:spacing w:line="360" w:lineRule="auto"/>
        <w:ind w:firstLine="643" w:firstLineChars="200"/>
        <w:jc w:val="center"/>
        <w:rPr>
          <w:rFonts w:ascii="仿宋" w:hAnsi="仿宋" w:eastAsia="仿宋" w:cs="宋体"/>
          <w:b/>
          <w:snapToGrid w:val="0"/>
          <w:kern w:val="24"/>
          <w:sz w:val="32"/>
          <w:szCs w:val="32"/>
        </w:rPr>
      </w:pPr>
      <w:r>
        <w:rPr>
          <w:rFonts w:hint="eastAsia" w:ascii="仿宋" w:hAnsi="仿宋" w:eastAsia="仿宋" w:cs="宋体"/>
          <w:b/>
          <w:snapToGrid w:val="0"/>
          <w:kern w:val="24"/>
          <w:sz w:val="32"/>
          <w:szCs w:val="32"/>
        </w:rPr>
        <w:t>第六章 活动管理</w:t>
      </w:r>
    </w:p>
    <w:p>
      <w:pPr>
        <w:widowControl/>
        <w:spacing w:line="360" w:lineRule="auto"/>
        <w:ind w:firstLine="643" w:firstLineChars="200"/>
        <w:jc w:val="left"/>
        <w:rPr>
          <w:rFonts w:ascii="华文仿宋" w:hAnsi="华文仿宋" w:eastAsia="华文仿宋" w:cs="Adobe 黑体 Std R"/>
          <w:bCs/>
          <w:color w:val="000000"/>
          <w:sz w:val="32"/>
          <w:szCs w:val="32"/>
        </w:rPr>
      </w:pPr>
      <w:r>
        <w:rPr>
          <w:rFonts w:hint="eastAsia" w:ascii="仿宋" w:hAnsi="仿宋" w:eastAsia="仿宋" w:cs="宋体"/>
          <w:b/>
          <w:snapToGrid w:val="0"/>
          <w:kern w:val="24"/>
          <w:sz w:val="32"/>
          <w:szCs w:val="32"/>
        </w:rPr>
        <w:t xml:space="preserve">第二十二条 </w:t>
      </w:r>
      <w:r>
        <w:rPr>
          <w:rFonts w:hint="eastAsia" w:ascii="仿宋" w:hAnsi="仿宋" w:eastAsia="仿宋" w:cs="Adobe 黑体 Std R"/>
          <w:bCs/>
          <w:color w:val="000000"/>
          <w:sz w:val="32"/>
          <w:szCs w:val="32"/>
        </w:rPr>
        <w:t>部门举办活动须遵守上海电子信息职业技术学院相关规章制度，并按照相应的审批程序进行，不得在学生中散布违背宪法、法律、法规和党的路线方针政策的错误观点和言论，不得开展与其宗旨不符的活动，不得开展纯商业性质活动</w:t>
      </w:r>
      <w:r>
        <w:rPr>
          <w:rFonts w:hint="eastAsia" w:ascii="华文仿宋" w:hAnsi="华文仿宋" w:eastAsia="华文仿宋" w:cs="Adobe 黑体 Std R"/>
          <w:bCs/>
          <w:color w:val="000000"/>
          <w:sz w:val="32"/>
          <w:szCs w:val="32"/>
        </w:rPr>
        <w:t>。</w:t>
      </w:r>
    </w:p>
    <w:p>
      <w:pPr>
        <w:widowControl/>
        <w:spacing w:line="360" w:lineRule="auto"/>
        <w:ind w:firstLine="643" w:firstLineChars="200"/>
        <w:jc w:val="left"/>
        <w:rPr>
          <w:rFonts w:ascii="华文仿宋" w:hAnsi="华文仿宋" w:eastAsia="华文仿宋" w:cs="Adobe 黑体 Std R"/>
          <w:bCs/>
          <w:color w:val="000000"/>
          <w:sz w:val="32"/>
          <w:szCs w:val="32"/>
        </w:rPr>
      </w:pPr>
      <w:r>
        <w:rPr>
          <w:rFonts w:hint="eastAsia" w:ascii="华文仿宋" w:hAnsi="华文仿宋" w:eastAsia="华文仿宋" w:cs="Adobe 黑体 Std R"/>
          <w:b/>
          <w:bCs/>
          <w:color w:val="000000"/>
          <w:sz w:val="32"/>
          <w:szCs w:val="32"/>
        </w:rPr>
        <w:t>第二十三条</w:t>
      </w:r>
      <w:r>
        <w:rPr>
          <w:rFonts w:hint="eastAsia" w:ascii="仿宋" w:hAnsi="仿宋" w:eastAsia="仿宋" w:cs="Adobe 黑体 Std R"/>
          <w:bCs/>
          <w:color w:val="000000"/>
          <w:sz w:val="32"/>
          <w:szCs w:val="32"/>
        </w:rPr>
        <w:t xml:space="preserve"> 每场活动开始前要有具体的活动流程方案、经费预算和紧急预案，确保活动安全、有序地进行。活动结束后，要及时清点并归还物资。</w:t>
      </w:r>
    </w:p>
    <w:p>
      <w:pPr>
        <w:widowControl/>
        <w:spacing w:line="360" w:lineRule="auto"/>
        <w:ind w:firstLine="643" w:firstLineChars="200"/>
        <w:jc w:val="center"/>
        <w:rPr>
          <w:rFonts w:ascii="仿宋" w:hAnsi="仿宋" w:eastAsia="仿宋" w:cs="宋体"/>
          <w:b/>
          <w:snapToGrid w:val="0"/>
          <w:kern w:val="24"/>
          <w:sz w:val="32"/>
          <w:szCs w:val="32"/>
        </w:rPr>
      </w:pPr>
      <w:r>
        <w:rPr>
          <w:rFonts w:hint="eastAsia" w:ascii="仿宋" w:hAnsi="仿宋" w:eastAsia="仿宋" w:cs="宋体"/>
          <w:b/>
          <w:snapToGrid w:val="0"/>
          <w:kern w:val="24"/>
          <w:sz w:val="32"/>
          <w:szCs w:val="32"/>
        </w:rPr>
        <w:t>第七章 注意事项</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第二十四条</w:t>
      </w:r>
      <w:r>
        <w:rPr>
          <w:rFonts w:hint="eastAsia" w:ascii="仿宋" w:hAnsi="仿宋" w:eastAsia="仿宋" w:cs="宋体"/>
          <w:snapToGrid w:val="0"/>
          <w:kern w:val="24"/>
          <w:sz w:val="32"/>
          <w:szCs w:val="32"/>
        </w:rPr>
        <w:t xml:space="preserve"> 部门成员之间不得恶意攀比，恶性竞争，做出影响团学形象、有损部门生育的问题。</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 xml:space="preserve">第二十五条 </w:t>
      </w:r>
      <w:r>
        <w:rPr>
          <w:rFonts w:hint="eastAsia" w:ascii="仿宋" w:hAnsi="仿宋" w:eastAsia="仿宋" w:cs="宋体"/>
          <w:snapToGrid w:val="0"/>
          <w:kern w:val="24"/>
          <w:sz w:val="32"/>
          <w:szCs w:val="32"/>
        </w:rPr>
        <w:t>部门成员在校园间，不得随意诋毁部门形象，传播不实信息，泄露部门工作机密，影响部门未来建设。</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 xml:space="preserve">第二十六条 </w:t>
      </w:r>
      <w:r>
        <w:rPr>
          <w:rFonts w:hint="eastAsia" w:ascii="仿宋" w:hAnsi="仿宋" w:eastAsia="仿宋" w:cs="宋体"/>
          <w:snapToGrid w:val="0"/>
          <w:kern w:val="24"/>
          <w:sz w:val="32"/>
          <w:szCs w:val="32"/>
        </w:rPr>
        <w:t>工作中注意保护个人信息，不得在部门外透露权益申请人的姓名、电话等重要信息，将问题探讨与私人信息分开来看，做到公事公办、就事论事。</w:t>
      </w:r>
    </w:p>
    <w:p>
      <w:pPr>
        <w:widowControl/>
        <w:spacing w:line="360" w:lineRule="auto"/>
        <w:ind w:firstLine="643" w:firstLineChars="200"/>
        <w:rPr>
          <w:rFonts w:ascii="仿宋" w:hAnsi="仿宋" w:eastAsia="仿宋" w:cs="宋体"/>
          <w:b/>
          <w:snapToGrid w:val="0"/>
          <w:kern w:val="24"/>
          <w:sz w:val="32"/>
          <w:szCs w:val="32"/>
        </w:rPr>
      </w:pPr>
      <w:r>
        <w:rPr>
          <w:rFonts w:hint="eastAsia" w:ascii="仿宋" w:hAnsi="仿宋" w:eastAsia="仿宋" w:cs="宋体"/>
          <w:b/>
          <w:snapToGrid w:val="0"/>
          <w:kern w:val="24"/>
          <w:sz w:val="32"/>
          <w:szCs w:val="32"/>
        </w:rPr>
        <w:t>第二十七条</w:t>
      </w:r>
      <w:r>
        <w:rPr>
          <w:rFonts w:hint="eastAsia" w:ascii="仿宋" w:hAnsi="仿宋" w:eastAsia="仿宋" w:cs="宋体"/>
          <w:snapToGrid w:val="0"/>
          <w:kern w:val="24"/>
          <w:sz w:val="32"/>
          <w:szCs w:val="32"/>
        </w:rPr>
        <w:t xml:space="preserve"> 对同学进行权益问题回复时，要站在对方立场思考问题，说话委婉，用词严谨，联系实际，特殊情况要结合实地考察、学生手册回答，不盲目回复。</w:t>
      </w:r>
    </w:p>
    <w:p>
      <w:pPr>
        <w:widowControl/>
        <w:spacing w:line="360" w:lineRule="auto"/>
        <w:ind w:firstLine="643" w:firstLineChars="200"/>
        <w:jc w:val="center"/>
        <w:rPr>
          <w:rFonts w:ascii="仿宋" w:hAnsi="仿宋" w:eastAsia="仿宋" w:cs="宋体"/>
          <w:b/>
          <w:snapToGrid w:val="0"/>
          <w:kern w:val="24"/>
          <w:sz w:val="32"/>
          <w:szCs w:val="32"/>
        </w:rPr>
      </w:pPr>
      <w:r>
        <w:rPr>
          <w:rFonts w:hint="eastAsia" w:ascii="仿宋" w:hAnsi="仿宋" w:eastAsia="仿宋" w:cs="宋体"/>
          <w:b/>
          <w:snapToGrid w:val="0"/>
          <w:kern w:val="24"/>
          <w:sz w:val="32"/>
          <w:szCs w:val="32"/>
        </w:rPr>
        <w:t>第八章 附则</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 xml:space="preserve">第二十八条 </w:t>
      </w:r>
      <w:r>
        <w:rPr>
          <w:rFonts w:hint="eastAsia" w:ascii="仿宋" w:hAnsi="仿宋" w:eastAsia="仿宋" w:cs="宋体"/>
          <w:snapToGrid w:val="0"/>
          <w:kern w:val="24"/>
          <w:sz w:val="32"/>
          <w:szCs w:val="32"/>
        </w:rPr>
        <w:t>本制度的解释权属于校学生会权益部。</w:t>
      </w:r>
    </w:p>
    <w:p>
      <w:pPr>
        <w:widowControl/>
        <w:spacing w:line="360" w:lineRule="auto"/>
        <w:ind w:firstLine="643" w:firstLineChars="200"/>
        <w:rPr>
          <w:rFonts w:ascii="仿宋" w:hAnsi="仿宋" w:eastAsia="仿宋" w:cs="宋体"/>
          <w:snapToGrid w:val="0"/>
          <w:kern w:val="24"/>
          <w:sz w:val="32"/>
          <w:szCs w:val="32"/>
        </w:rPr>
      </w:pPr>
      <w:r>
        <w:rPr>
          <w:rFonts w:hint="eastAsia" w:ascii="仿宋" w:hAnsi="仿宋" w:eastAsia="仿宋" w:cs="宋体"/>
          <w:b/>
          <w:snapToGrid w:val="0"/>
          <w:kern w:val="24"/>
          <w:sz w:val="32"/>
          <w:szCs w:val="32"/>
        </w:rPr>
        <w:t>第二十九条</w:t>
      </w:r>
      <w:r>
        <w:rPr>
          <w:rFonts w:hint="eastAsia" w:ascii="仿宋" w:hAnsi="仿宋" w:eastAsia="仿宋" w:cs="宋体"/>
          <w:snapToGrid w:val="0"/>
          <w:kern w:val="24"/>
          <w:sz w:val="32"/>
          <w:szCs w:val="32"/>
        </w:rPr>
        <w:t xml:space="preserve"> 本制度自发布之日开始执行。</w:t>
      </w:r>
    </w:p>
    <w:p>
      <w:pPr>
        <w:spacing w:line="240" w:lineRule="auto"/>
        <w:ind w:firstLine="640" w:firstLineChars="200"/>
        <w:rPr>
          <w:rFonts w:hint="eastAsia" w:ascii="仿宋" w:hAnsi="仿宋" w:eastAsia="仿宋" w:cs="仿宋"/>
          <w:sz w:val="32"/>
          <w:szCs w:val="32"/>
        </w:rPr>
      </w:pPr>
    </w:p>
    <w:p>
      <w:pPr>
        <w:spacing w:line="240" w:lineRule="auto"/>
        <w:ind w:firstLine="640" w:firstLineChars="200"/>
        <w:rPr>
          <w:rFonts w:hint="eastAsia" w:ascii="仿宋" w:hAnsi="仿宋" w:eastAsia="仿宋" w:cs="仿宋"/>
          <w:sz w:val="32"/>
          <w:szCs w:val="32"/>
        </w:rPr>
      </w:pPr>
    </w:p>
    <w:p>
      <w:pPr>
        <w:spacing w:line="240" w:lineRule="auto"/>
        <w:ind w:firstLine="640" w:firstLineChars="200"/>
        <w:rPr>
          <w:rFonts w:hint="eastAsia" w:ascii="仿宋" w:hAnsi="仿宋" w:eastAsia="仿宋" w:cs="仿宋"/>
          <w:sz w:val="32"/>
          <w:szCs w:val="32"/>
        </w:rPr>
      </w:pPr>
    </w:p>
    <w:p>
      <w:pPr>
        <w:spacing w:line="240" w:lineRule="auto"/>
        <w:ind w:firstLine="640" w:firstLineChars="200"/>
        <w:rPr>
          <w:rFonts w:hint="eastAsia" w:ascii="仿宋" w:hAnsi="仿宋" w:eastAsia="仿宋" w:cs="仿宋"/>
          <w:sz w:val="32"/>
          <w:szCs w:val="32"/>
        </w:rPr>
      </w:pPr>
    </w:p>
    <w:p>
      <w:pPr>
        <w:spacing w:line="240" w:lineRule="auto"/>
        <w:ind w:firstLine="640" w:firstLineChars="200"/>
        <w:rPr>
          <w:rFonts w:hint="eastAsia" w:ascii="仿宋" w:hAnsi="仿宋" w:eastAsia="仿宋" w:cs="仿宋"/>
          <w:sz w:val="32"/>
          <w:szCs w:val="32"/>
        </w:rPr>
      </w:pPr>
      <w:bookmarkStart w:id="0" w:name="_GoBack"/>
      <w:bookmarkEnd w:id="0"/>
    </w:p>
    <w:p>
      <w:pPr>
        <w:spacing w:line="240" w:lineRule="auto"/>
        <w:ind w:firstLine="640" w:firstLineChars="200"/>
        <w:rPr>
          <w:rFonts w:hint="eastAsia" w:ascii="仿宋" w:hAnsi="仿宋" w:eastAsia="仿宋" w:cs="仿宋"/>
          <w:sz w:val="32"/>
          <w:szCs w:val="32"/>
        </w:rPr>
      </w:pPr>
    </w:p>
    <w:p>
      <w:pPr>
        <w:spacing w:line="240" w:lineRule="auto"/>
        <w:ind w:firstLine="640" w:firstLineChars="200"/>
        <w:rPr>
          <w:rFonts w:hint="eastAsia" w:ascii="仿宋" w:hAnsi="仿宋" w:eastAsia="仿宋" w:cs="仿宋"/>
          <w:sz w:val="32"/>
          <w:szCs w:val="32"/>
        </w:rPr>
      </w:pPr>
    </w:p>
    <w:p>
      <w:pPr>
        <w:rPr>
          <w:rFonts w:hint="eastAsia" w:ascii="仿宋" w:hAnsi="仿宋" w:eastAsia="仿宋" w:cs="仿宋"/>
          <w:sz w:val="29"/>
          <w:szCs w:val="29"/>
        </w:rPr>
      </w:pPr>
      <w:r>
        <w:rPr>
          <w:rFonts w:hint="eastAsia" w:ascii="仿宋" w:hAnsi="仿宋" w:eastAsia="仿宋" w:cs="仿宋"/>
          <w:sz w:val="29"/>
          <w:szCs w:val="29"/>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394970</wp:posOffset>
                </wp:positionV>
                <wp:extent cx="5734050" cy="1270"/>
                <wp:effectExtent l="0" t="0" r="0" b="0"/>
                <wp:wrapNone/>
                <wp:docPr id="3" name="直线 2"/>
                <wp:cNvGraphicFramePr/>
                <a:graphic xmlns:a="http://schemas.openxmlformats.org/drawingml/2006/main">
                  <a:graphicData uri="http://schemas.microsoft.com/office/word/2010/wordprocessingShape">
                    <wps:wsp>
                      <wps:cNvCnPr/>
                      <wps:spPr>
                        <a:xfrm>
                          <a:off x="0" y="0"/>
                          <a:ext cx="5734050" cy="1270"/>
                        </a:xfrm>
                        <a:prstGeom prst="line">
                          <a:avLst/>
                        </a:prstGeom>
                        <a:ln w="19050" cap="flat" cmpd="sng">
                          <a:solidFill>
                            <a:srgbClr val="000000"/>
                          </a:solidFill>
                          <a:prstDash val="solid"/>
                          <a:headEnd type="none" w="med" len="med"/>
                          <a:tailEnd type="none" w="med" len="med"/>
                        </a:ln>
                      </wps:spPr>
                      <wps:bodyPr/>
                    </wps:wsp>
                  </a:graphicData>
                </a:graphic>
              </wp:anchor>
            </w:drawing>
          </mc:Choice>
          <mc:Fallback>
            <w:pict>
              <v:line id="直线 2" o:spid="_x0000_s1026" o:spt="20" style="position:absolute;left:0pt;margin-left:0pt;margin-top:31.1pt;height:0.1pt;width:451.5pt;z-index:251666432;mso-width-relative:page;mso-height-relative:page;" filled="f" stroked="t" coordsize="21600,21600" o:gfxdata="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Ltl65dMAAAAGAQAADwAAAAAAAAABACAAAAAiAAAAZHJzL2Rvd25yZXYu&#10;eG1sUEsBAhQAFAAAAAgAh07iQDaEQRDHAQAAhQMAAA4AAAAAAAAAAQAgAAAAIgEAAGRycy9lMm9E&#10;b2MueG1sUEsFBgAAAAAGAAYAWQEAAFsFAAAAAA==&#10;">
                <v:fill on="f" focussize="0,0"/>
                <v:stroke weight="1.5pt" color="#000000" joinstyle="round"/>
                <v:imagedata o:title=""/>
                <o:lock v:ext="edit" aspectratio="f"/>
              </v:line>
            </w:pict>
          </mc:Fallback>
        </mc:AlternateContent>
      </w:r>
      <w:r>
        <w:rPr>
          <w:rFonts w:hint="eastAsia" w:ascii="仿宋" w:hAnsi="仿宋" w:eastAsia="仿宋" w:cs="仿宋"/>
          <w:sz w:val="29"/>
          <w:szCs w:val="29"/>
        </w:rPr>
        <mc:AlternateContent>
          <mc:Choice Requires="wps">
            <w:drawing>
              <wp:anchor distT="0" distB="0" distL="114300" distR="114300" simplePos="0" relativeHeight="251665408" behindDoc="0" locked="0" layoutInCell="1" allowOverlap="1">
                <wp:simplePos x="0" y="0"/>
                <wp:positionH relativeFrom="column">
                  <wp:posOffset>-6350</wp:posOffset>
                </wp:positionH>
                <wp:positionV relativeFrom="paragraph">
                  <wp:posOffset>-1270</wp:posOffset>
                </wp:positionV>
                <wp:extent cx="5740400" cy="1270"/>
                <wp:effectExtent l="0" t="0" r="0" b="0"/>
                <wp:wrapNone/>
                <wp:docPr id="4" name="直线 3"/>
                <wp:cNvGraphicFramePr/>
                <a:graphic xmlns:a="http://schemas.openxmlformats.org/drawingml/2006/main">
                  <a:graphicData uri="http://schemas.microsoft.com/office/word/2010/wordprocessingShape">
                    <wps:wsp>
                      <wps:cNvCnPr/>
                      <wps:spPr>
                        <a:xfrm>
                          <a:off x="0" y="0"/>
                          <a:ext cx="5740400" cy="127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3" o:spid="_x0000_s1026" o:spt="20" style="position:absolute;left:0pt;margin-left:-0.5pt;margin-top:-0.1pt;height:0.1pt;width:452pt;z-index:251665408;mso-width-relative:page;mso-height-relative:page;" filled="f" stroked="t" coordsize="21600,21600" o:gfxdata="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NsjmiXTAAAABQEAAA8AAAAAAAAAAQAgAAAAIgAAAGRycy9kb3ducmV2&#10;LnhtbFBLAQIUABQAAAAIAIdO4kCrv8wByAEAAIQDAAAOAAAAAAAAAAEAIAAAACIBAABkcnMvZTJv&#10;RG9jLnhtbFBLBQYAAAAABgAGAFkBAABcBQAAAAA=&#10;">
                <v:fill on="f" focussize="0,0"/>
                <v:stroke color="#000000" joinstyle="round"/>
                <v:imagedata o:title=""/>
                <o:lock v:ext="edit" aspectratio="f"/>
              </v:line>
            </w:pict>
          </mc:Fallback>
        </mc:AlternateContent>
      </w:r>
      <w:r>
        <w:rPr>
          <w:rFonts w:hint="eastAsia" w:ascii="仿宋" w:hAnsi="仿宋" w:eastAsia="仿宋" w:cs="仿宋"/>
          <w:sz w:val="29"/>
          <w:szCs w:val="29"/>
        </w:rPr>
        <w:t xml:space="preserve">共青团上海电子信息职业技术学院委员会 </w:t>
      </w:r>
      <w:r>
        <w:rPr>
          <w:rFonts w:hint="eastAsia" w:ascii="仿宋" w:hAnsi="仿宋" w:eastAsia="仿宋" w:cs="仿宋"/>
          <w:sz w:val="29"/>
          <w:szCs w:val="29"/>
          <w:lang w:eastAsia="zh-CN"/>
        </w:rPr>
        <w:t>2019年</w:t>
      </w:r>
      <w:r>
        <w:rPr>
          <w:rFonts w:hint="eastAsia" w:ascii="仿宋" w:hAnsi="仿宋" w:eastAsia="仿宋" w:cs="仿宋"/>
          <w:sz w:val="29"/>
          <w:szCs w:val="29"/>
          <w:lang w:val="en-US" w:eastAsia="zh-CN"/>
        </w:rPr>
        <w:t>7</w:t>
      </w:r>
      <w:r>
        <w:rPr>
          <w:rFonts w:hint="eastAsia" w:ascii="仿宋" w:hAnsi="仿宋" w:eastAsia="仿宋" w:cs="仿宋"/>
          <w:sz w:val="29"/>
          <w:szCs w:val="29"/>
          <w:lang w:eastAsia="zh-CN"/>
        </w:rPr>
        <w:t>月</w:t>
      </w:r>
      <w:r>
        <w:rPr>
          <w:rFonts w:hint="eastAsia" w:ascii="仿宋" w:hAnsi="仿宋" w:eastAsia="仿宋" w:cs="仿宋"/>
          <w:sz w:val="29"/>
          <w:szCs w:val="29"/>
          <w:lang w:val="en-US" w:eastAsia="zh-CN"/>
        </w:rPr>
        <w:t>2</w:t>
      </w:r>
      <w:r>
        <w:rPr>
          <w:rFonts w:hint="eastAsia" w:ascii="仿宋" w:hAnsi="仿宋" w:eastAsia="仿宋" w:cs="仿宋"/>
          <w:sz w:val="29"/>
          <w:szCs w:val="29"/>
          <w:lang w:eastAsia="zh-CN"/>
        </w:rPr>
        <w:t>日</w:t>
      </w:r>
      <w:r>
        <w:rPr>
          <w:rFonts w:hint="eastAsia" w:ascii="仿宋" w:hAnsi="仿宋" w:eastAsia="仿宋" w:cs="仿宋"/>
          <w:sz w:val="29"/>
          <w:szCs w:val="29"/>
        </w:rPr>
        <w:t>印发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华文仿宋">
    <w:altName w:val="仿宋"/>
    <w:panose1 w:val="02010600040101010101"/>
    <w:charset w:val="86"/>
    <w:family w:val="auto"/>
    <w:pitch w:val="default"/>
    <w:sig w:usb0="00000000" w:usb1="0000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70137"/>
    <w:multiLevelType w:val="multilevel"/>
    <w:tmpl w:val="2F870137"/>
    <w:lvl w:ilvl="0" w:tentative="0">
      <w:start w:val="1"/>
      <w:numFmt w:val="japaneseCounting"/>
      <w:lvlText w:val="第%1章"/>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2FF"/>
    <w:rsid w:val="00122EDD"/>
    <w:rsid w:val="0032577B"/>
    <w:rsid w:val="006D184B"/>
    <w:rsid w:val="00936223"/>
    <w:rsid w:val="009E32FF"/>
    <w:rsid w:val="00AB6511"/>
    <w:rsid w:val="00AC1E17"/>
    <w:rsid w:val="00F05852"/>
    <w:rsid w:val="00F32617"/>
    <w:rsid w:val="011D4D37"/>
    <w:rsid w:val="072B45FD"/>
    <w:rsid w:val="0B85620C"/>
    <w:rsid w:val="133D5D04"/>
    <w:rsid w:val="162B1542"/>
    <w:rsid w:val="17B81DF9"/>
    <w:rsid w:val="1A8E075A"/>
    <w:rsid w:val="1BD1072F"/>
    <w:rsid w:val="1BEA550A"/>
    <w:rsid w:val="1CE622DE"/>
    <w:rsid w:val="212C73AA"/>
    <w:rsid w:val="254E4D9D"/>
    <w:rsid w:val="27276BCC"/>
    <w:rsid w:val="27845204"/>
    <w:rsid w:val="33385D2E"/>
    <w:rsid w:val="36780A3B"/>
    <w:rsid w:val="402B3CAA"/>
    <w:rsid w:val="42F60BE9"/>
    <w:rsid w:val="48C10092"/>
    <w:rsid w:val="49C3482E"/>
    <w:rsid w:val="4B405869"/>
    <w:rsid w:val="4B8716BC"/>
    <w:rsid w:val="502C4155"/>
    <w:rsid w:val="52200091"/>
    <w:rsid w:val="54730FFE"/>
    <w:rsid w:val="56041A53"/>
    <w:rsid w:val="68B67928"/>
    <w:rsid w:val="6D8950A2"/>
    <w:rsid w:val="6E574C4C"/>
    <w:rsid w:val="73155E0B"/>
    <w:rsid w:val="79535572"/>
    <w:rsid w:val="7D8C5970"/>
    <w:rsid w:val="7EF84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Char"/>
    <w:basedOn w:val="6"/>
    <w:link w:val="2"/>
    <w:qFormat/>
    <w:uiPriority w:val="9"/>
    <w:rPr>
      <w:b/>
      <w:bCs/>
      <w:kern w:val="44"/>
      <w:sz w:val="44"/>
      <w:szCs w:val="44"/>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192</Words>
  <Characters>1101</Characters>
  <Lines>9</Lines>
  <Paragraphs>2</Paragraphs>
  <TotalTime>1</TotalTime>
  <ScaleCrop>false</ScaleCrop>
  <LinksUpToDate>false</LinksUpToDate>
  <CharactersWithSpaces>1291</CharactersWithSpaces>
  <Application>WPS Office_11.1.0.8771_F1E327BC-269C-435d-A152-05C5408002CA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2018-06-09T06:52:00Z</dcterms:created>
  <dc:creator>User</dc:creator>
  <cp:lastModifiedBy>琅西</cp:lastModifiedBy>
  <cp:lastPrinted>2018-07-02T06:24:00Z</cp:lastPrinted>
  <dcterms:modified xsi:type="dcterms:W3CDTF">2019-07-02T03:47:19Z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2052-11.1.0.8771</vt:lpwstr>
  </property>
</Properties>
</file>